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ED5A52">
        <w:rPr>
          <w:sz w:val="28"/>
        </w:rPr>
        <w:t>Verschiedene Rechtecke</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ED5A52" w:rsidTr="00ED5A52">
        <w:tc>
          <w:tcPr>
            <w:tcW w:w="2466" w:type="dxa"/>
            <w:tcBorders>
              <w:top w:val="single" w:sz="4" w:space="0" w:color="auto"/>
            </w:tcBorders>
            <w:vAlign w:val="center"/>
          </w:tcPr>
          <w:p w:rsidR="00ED5A52" w:rsidRDefault="00ED5A52" w:rsidP="00C96D35">
            <w:pPr>
              <w:pStyle w:val="IQB-Merkmal"/>
            </w:pPr>
            <w:r>
              <w:t>Leitidee</w:t>
            </w:r>
          </w:p>
        </w:tc>
        <w:tc>
          <w:tcPr>
            <w:tcW w:w="6604" w:type="dxa"/>
            <w:tcBorders>
              <w:top w:val="single" w:sz="4" w:space="0" w:color="auto"/>
            </w:tcBorders>
          </w:tcPr>
          <w:p w:rsidR="00ED5A52" w:rsidRDefault="00ED5A52" w:rsidP="00C96D35">
            <w:pPr>
              <w:pStyle w:val="IQB-Merkmalswert"/>
            </w:pPr>
            <w:r>
              <w:t>4. Funktionaler Zusammenhang</w:t>
            </w:r>
          </w:p>
        </w:tc>
      </w:tr>
      <w:tr w:rsidR="00ED5A52" w:rsidTr="00ED5A52">
        <w:tc>
          <w:tcPr>
            <w:tcW w:w="2466" w:type="dxa"/>
            <w:vAlign w:val="center"/>
          </w:tcPr>
          <w:p w:rsidR="00ED5A52" w:rsidRDefault="00ED5A52" w:rsidP="00C96D35">
            <w:pPr>
              <w:pStyle w:val="IQB-Merkmal"/>
            </w:pPr>
            <w:r>
              <w:t>Allgemeine Kompetenz</w:t>
            </w:r>
          </w:p>
        </w:tc>
        <w:tc>
          <w:tcPr>
            <w:tcW w:w="6604" w:type="dxa"/>
          </w:tcPr>
          <w:p w:rsidR="00ED5A52" w:rsidRDefault="00ED5A52" w:rsidP="00C96D35">
            <w:pPr>
              <w:pStyle w:val="IQB-Merkmalswert"/>
            </w:pPr>
            <w:r w:rsidRPr="00C764A9">
              <w:t>Mathematische Darstellungen verwenden (K4)</w:t>
            </w:r>
          </w:p>
        </w:tc>
      </w:tr>
      <w:tr w:rsidR="00ED5A52" w:rsidTr="00ED5A52">
        <w:tc>
          <w:tcPr>
            <w:tcW w:w="2466" w:type="dxa"/>
            <w:vAlign w:val="center"/>
          </w:tcPr>
          <w:p w:rsidR="00ED5A52" w:rsidRDefault="00ED5A52" w:rsidP="00C96D35">
            <w:pPr>
              <w:pStyle w:val="IQB-Merkmal"/>
            </w:pPr>
            <w:r>
              <w:t>Anforderungsbereich</w:t>
            </w:r>
          </w:p>
        </w:tc>
        <w:tc>
          <w:tcPr>
            <w:tcW w:w="6604" w:type="dxa"/>
          </w:tcPr>
          <w:p w:rsidR="00ED5A52" w:rsidRDefault="00ED5A52" w:rsidP="00C96D35">
            <w:pPr>
              <w:pStyle w:val="IQB-Merkmalswert"/>
            </w:pPr>
            <w:r>
              <w:t>I</w:t>
            </w:r>
          </w:p>
        </w:tc>
      </w:tr>
      <w:tr w:rsidR="00ED5A52" w:rsidTr="00ED5A52">
        <w:tc>
          <w:tcPr>
            <w:tcW w:w="2466" w:type="dxa"/>
            <w:tcBorders>
              <w:bottom w:val="single" w:sz="4" w:space="0" w:color="auto"/>
            </w:tcBorders>
            <w:vAlign w:val="center"/>
          </w:tcPr>
          <w:p w:rsidR="00ED5A52" w:rsidRDefault="00ED5A52" w:rsidP="00C96D35">
            <w:pPr>
              <w:pStyle w:val="IQB-Merkmal"/>
            </w:pPr>
            <w:r>
              <w:t>Kompetenzstufe</w:t>
            </w:r>
          </w:p>
        </w:tc>
        <w:tc>
          <w:tcPr>
            <w:tcW w:w="6604" w:type="dxa"/>
            <w:tcBorders>
              <w:bottom w:val="single" w:sz="4" w:space="0" w:color="auto"/>
            </w:tcBorders>
          </w:tcPr>
          <w:p w:rsidR="00ED5A52" w:rsidRDefault="00ED5A52" w:rsidP="00C96D35">
            <w:pPr>
              <w:pStyle w:val="IQB-Merkmalswert"/>
            </w:pPr>
            <w:r>
              <w:t>3</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ED5A52" w:rsidTr="00ED5A52">
        <w:tc>
          <w:tcPr>
            <w:tcW w:w="2466" w:type="dxa"/>
            <w:tcBorders>
              <w:top w:val="single" w:sz="4" w:space="0" w:color="auto"/>
            </w:tcBorders>
            <w:vAlign w:val="center"/>
          </w:tcPr>
          <w:p w:rsidR="00ED5A52" w:rsidRDefault="00ED5A52" w:rsidP="00C96D35">
            <w:pPr>
              <w:pStyle w:val="IQB-Merkmal"/>
            </w:pPr>
            <w:r>
              <w:t>Leitidee</w:t>
            </w:r>
          </w:p>
        </w:tc>
        <w:tc>
          <w:tcPr>
            <w:tcW w:w="6604" w:type="dxa"/>
            <w:tcBorders>
              <w:top w:val="single" w:sz="4" w:space="0" w:color="auto"/>
            </w:tcBorders>
          </w:tcPr>
          <w:p w:rsidR="00ED5A52" w:rsidRDefault="00ED5A52" w:rsidP="00C96D35">
            <w:pPr>
              <w:pStyle w:val="IQB-Merkmalswert"/>
            </w:pPr>
            <w:r>
              <w:t>4. Funktionaler Zusammenhang</w:t>
            </w:r>
          </w:p>
        </w:tc>
      </w:tr>
      <w:tr w:rsidR="00ED5A52" w:rsidTr="00ED5A52">
        <w:tc>
          <w:tcPr>
            <w:tcW w:w="2466" w:type="dxa"/>
            <w:vAlign w:val="center"/>
          </w:tcPr>
          <w:p w:rsidR="00ED5A52" w:rsidRDefault="00ED5A52" w:rsidP="00C96D35">
            <w:pPr>
              <w:pStyle w:val="IQB-Merkmal"/>
            </w:pPr>
            <w:r>
              <w:t>Allgemeine Kompetenz</w:t>
            </w:r>
          </w:p>
        </w:tc>
        <w:tc>
          <w:tcPr>
            <w:tcW w:w="6604" w:type="dxa"/>
          </w:tcPr>
          <w:p w:rsidR="00ED5A52" w:rsidRDefault="00ED5A52" w:rsidP="00C96D35">
            <w:pPr>
              <w:pStyle w:val="IQB-Merkmalswert"/>
            </w:pPr>
            <w:r w:rsidRPr="00C764A9">
              <w:t>Probleme mathematisch lösen (K2)</w:t>
            </w:r>
            <w:r>
              <w:t>,</w:t>
            </w:r>
          </w:p>
          <w:p w:rsidR="00ED5A52" w:rsidRDefault="00ED5A52" w:rsidP="00C96D35">
            <w:pPr>
              <w:pStyle w:val="IQB-Merkmalswert"/>
            </w:pPr>
            <w:r w:rsidRPr="00C764A9">
              <w:t>Mathematische Darstellungen verwenden (K4)</w:t>
            </w:r>
          </w:p>
        </w:tc>
      </w:tr>
      <w:tr w:rsidR="00ED5A52" w:rsidTr="00ED5A52">
        <w:tc>
          <w:tcPr>
            <w:tcW w:w="2466" w:type="dxa"/>
            <w:vAlign w:val="center"/>
          </w:tcPr>
          <w:p w:rsidR="00ED5A52" w:rsidRDefault="00ED5A52" w:rsidP="00C96D35">
            <w:pPr>
              <w:pStyle w:val="IQB-Merkmal"/>
            </w:pPr>
            <w:r>
              <w:t>Anforderungsbereich</w:t>
            </w:r>
          </w:p>
        </w:tc>
        <w:tc>
          <w:tcPr>
            <w:tcW w:w="6604" w:type="dxa"/>
          </w:tcPr>
          <w:p w:rsidR="00ED5A52" w:rsidRDefault="00ED5A52" w:rsidP="00C96D35">
            <w:pPr>
              <w:pStyle w:val="IQB-Merkmalswert"/>
            </w:pPr>
            <w:r>
              <w:t>II</w:t>
            </w:r>
          </w:p>
        </w:tc>
      </w:tr>
      <w:tr w:rsidR="00ED5A52" w:rsidTr="00ED5A52">
        <w:tc>
          <w:tcPr>
            <w:tcW w:w="2466" w:type="dxa"/>
            <w:tcBorders>
              <w:bottom w:val="single" w:sz="4" w:space="0" w:color="auto"/>
            </w:tcBorders>
            <w:vAlign w:val="center"/>
          </w:tcPr>
          <w:p w:rsidR="00ED5A52" w:rsidRDefault="00ED5A52" w:rsidP="00C96D35">
            <w:pPr>
              <w:pStyle w:val="IQB-Merkmal"/>
            </w:pPr>
            <w:r>
              <w:t>Kompetenzstufe</w:t>
            </w:r>
          </w:p>
        </w:tc>
        <w:tc>
          <w:tcPr>
            <w:tcW w:w="6604" w:type="dxa"/>
            <w:tcBorders>
              <w:bottom w:val="single" w:sz="4" w:space="0" w:color="auto"/>
            </w:tcBorders>
          </w:tcPr>
          <w:p w:rsidR="00ED5A52" w:rsidRDefault="00ED5A52" w:rsidP="00C96D35">
            <w:pPr>
              <w:pStyle w:val="IQB-Merkmalswert"/>
            </w:pPr>
            <w:r>
              <w:t>3</w:t>
            </w:r>
          </w:p>
        </w:tc>
      </w:tr>
    </w:tbl>
    <w:p w:rsidR="00ED5A52" w:rsidRPr="00694A63" w:rsidRDefault="00ED5A52" w:rsidP="00ED5A52">
      <w:pPr>
        <w:pStyle w:val="IQB-Teilaufgabentitel"/>
        <w:rPr>
          <w:b/>
        </w:rPr>
      </w:pPr>
      <w:r w:rsidRPr="00694A63">
        <w:rPr>
          <w:b/>
        </w:rPr>
        <w:t>Merkmal</w:t>
      </w:r>
      <w:r>
        <w:rPr>
          <w:b/>
        </w:rPr>
        <w:t xml:space="preserve">e der Teilaufgabe </w:t>
      </w:r>
      <w:r>
        <w:rPr>
          <w:b/>
        </w:rPr>
        <w:t>3</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ED5A52" w:rsidTr="00ED5A52">
        <w:tc>
          <w:tcPr>
            <w:tcW w:w="2466" w:type="dxa"/>
            <w:tcBorders>
              <w:top w:val="single" w:sz="4" w:space="0" w:color="auto"/>
            </w:tcBorders>
            <w:vAlign w:val="center"/>
          </w:tcPr>
          <w:p w:rsidR="00ED5A52" w:rsidRDefault="00ED5A52" w:rsidP="00C96D35">
            <w:pPr>
              <w:pStyle w:val="IQB-Merkmal"/>
            </w:pPr>
            <w:r>
              <w:t>Leitidee</w:t>
            </w:r>
          </w:p>
        </w:tc>
        <w:tc>
          <w:tcPr>
            <w:tcW w:w="6604" w:type="dxa"/>
            <w:tcBorders>
              <w:top w:val="single" w:sz="4" w:space="0" w:color="auto"/>
            </w:tcBorders>
          </w:tcPr>
          <w:p w:rsidR="00ED5A52" w:rsidRDefault="00ED5A52" w:rsidP="00C96D35">
            <w:pPr>
              <w:pStyle w:val="IQB-Merkmalswert"/>
            </w:pPr>
            <w:r>
              <w:t>4. Funktionaler Zusammenhang</w:t>
            </w:r>
          </w:p>
        </w:tc>
      </w:tr>
      <w:tr w:rsidR="00ED5A52" w:rsidTr="00ED5A52">
        <w:tc>
          <w:tcPr>
            <w:tcW w:w="2466" w:type="dxa"/>
            <w:vAlign w:val="center"/>
          </w:tcPr>
          <w:p w:rsidR="00ED5A52" w:rsidRDefault="00ED5A52" w:rsidP="00C96D35">
            <w:pPr>
              <w:pStyle w:val="IQB-Merkmal"/>
            </w:pPr>
            <w:r>
              <w:t>Allgemeine Kompetenz</w:t>
            </w:r>
          </w:p>
        </w:tc>
        <w:tc>
          <w:tcPr>
            <w:tcW w:w="6604" w:type="dxa"/>
          </w:tcPr>
          <w:p w:rsidR="00ED5A52" w:rsidRDefault="00ED5A52" w:rsidP="00C96D35">
            <w:pPr>
              <w:pStyle w:val="IQB-Merkmalswert"/>
            </w:pPr>
            <w:r>
              <w:t>Probleme mathematisch lösen (K2),</w:t>
            </w:r>
          </w:p>
          <w:p w:rsidR="00ED5A52" w:rsidRDefault="00ED5A52" w:rsidP="00C96D35">
            <w:pPr>
              <w:pStyle w:val="IQB-Merkmalswert"/>
            </w:pPr>
            <w:r>
              <w:t>Mathematische Darstellungen verwenden (K4),</w:t>
            </w:r>
          </w:p>
          <w:p w:rsidR="00ED5A52" w:rsidRDefault="00ED5A52" w:rsidP="00C96D35">
            <w:pPr>
              <w:pStyle w:val="IQB-Merkmalswert"/>
            </w:pPr>
            <w:r w:rsidRPr="00C764A9">
              <w:t>Mathematisch kommunizieren (K6)</w:t>
            </w:r>
          </w:p>
        </w:tc>
      </w:tr>
      <w:tr w:rsidR="00ED5A52" w:rsidTr="00ED5A52">
        <w:tc>
          <w:tcPr>
            <w:tcW w:w="2466" w:type="dxa"/>
            <w:vAlign w:val="center"/>
          </w:tcPr>
          <w:p w:rsidR="00ED5A52" w:rsidRDefault="00ED5A52" w:rsidP="00C96D35">
            <w:pPr>
              <w:pStyle w:val="IQB-Merkmal"/>
            </w:pPr>
            <w:r>
              <w:t>Anforderungsbereich</w:t>
            </w:r>
          </w:p>
        </w:tc>
        <w:tc>
          <w:tcPr>
            <w:tcW w:w="6604" w:type="dxa"/>
          </w:tcPr>
          <w:p w:rsidR="00ED5A52" w:rsidRDefault="00ED5A52" w:rsidP="00C96D35">
            <w:pPr>
              <w:pStyle w:val="IQB-Merkmalswert"/>
            </w:pPr>
            <w:r>
              <w:t>III</w:t>
            </w:r>
          </w:p>
        </w:tc>
      </w:tr>
      <w:tr w:rsidR="00ED5A52" w:rsidTr="00ED5A52">
        <w:tc>
          <w:tcPr>
            <w:tcW w:w="2466" w:type="dxa"/>
            <w:tcBorders>
              <w:bottom w:val="single" w:sz="4" w:space="0" w:color="auto"/>
            </w:tcBorders>
            <w:vAlign w:val="center"/>
          </w:tcPr>
          <w:p w:rsidR="00ED5A52" w:rsidRDefault="00ED5A52" w:rsidP="00C96D35">
            <w:pPr>
              <w:pStyle w:val="IQB-Merkmal"/>
            </w:pPr>
            <w:r>
              <w:t>Kompetenzstufe</w:t>
            </w:r>
          </w:p>
        </w:tc>
        <w:tc>
          <w:tcPr>
            <w:tcW w:w="6604" w:type="dxa"/>
            <w:tcBorders>
              <w:bottom w:val="single" w:sz="4" w:space="0" w:color="auto"/>
            </w:tcBorders>
          </w:tcPr>
          <w:p w:rsidR="00ED5A52" w:rsidRDefault="00ED5A52" w:rsidP="00C96D35">
            <w:pPr>
              <w:pStyle w:val="IQB-Merkmalswert"/>
            </w:pPr>
            <w:r>
              <w:t>5</w:t>
            </w:r>
          </w:p>
        </w:tc>
      </w:tr>
    </w:tbl>
    <w:p w:rsidR="00694A63" w:rsidRPr="00694A63" w:rsidRDefault="00694A63" w:rsidP="00694A63">
      <w:pPr>
        <w:pStyle w:val="IQB-Teilaufgabentitel"/>
        <w:rPr>
          <w:b/>
        </w:rPr>
      </w:pPr>
      <w:r w:rsidRPr="00694A63">
        <w:rPr>
          <w:b/>
        </w:rPr>
        <w:t>Aufgabenbezogener Kommentar</w:t>
      </w:r>
    </w:p>
    <w:p w:rsidR="00ED5A52" w:rsidRPr="00636913" w:rsidRDefault="00ED5A52" w:rsidP="00ED5A52">
      <w:pPr>
        <w:pStyle w:val="IQB-Standard"/>
        <w:rPr>
          <w:sz w:val="22"/>
          <w:szCs w:val="22"/>
        </w:rPr>
      </w:pPr>
      <w:r w:rsidRPr="00636913">
        <w:rPr>
          <w:sz w:val="22"/>
          <w:szCs w:val="22"/>
        </w:rPr>
        <w:t>In allen drei Teilaufgaben wird der Funktionale Zusammenhang von Breite und Länge eines Rechtecks mit vorgegebenem Flächeninhalt untersucht (L4).</w:t>
      </w:r>
    </w:p>
    <w:p w:rsidR="00ED5A52" w:rsidRPr="00636913" w:rsidRDefault="00ED5A52" w:rsidP="00ED5A52">
      <w:pPr>
        <w:pStyle w:val="IQB-Standard"/>
        <w:rPr>
          <w:sz w:val="22"/>
          <w:szCs w:val="22"/>
        </w:rPr>
      </w:pPr>
      <w:r w:rsidRPr="00636913">
        <w:rPr>
          <w:sz w:val="22"/>
          <w:szCs w:val="22"/>
        </w:rPr>
        <w:t xml:space="preserve">Hierbei steht jeweils eine in der Aufgabenstellung gegebene graphische Darstellung des funktionalen Zusammenhangs im Fokus, die von den Schülerinnen und Schülern verstanden und zur Beantwortung verschiedener Fragestellungen verwendet werden muss (K4). In Teilaufgabe 1 müssen die Koordinaten eines Punktes aus der Darstellung abgelesen und interpretiert werden und in den Teilaufgaben 2 und 3 sollen im Kontext dieses funktionalen Zusammenhangs jeweils problemhaltige Fragestellungen beantwortet werden (K2). </w:t>
      </w:r>
    </w:p>
    <w:p w:rsidR="00ED5A52" w:rsidRPr="00636913" w:rsidRDefault="00ED5A52" w:rsidP="00ED5A52">
      <w:pPr>
        <w:pStyle w:val="IQB-Standard"/>
        <w:rPr>
          <w:sz w:val="22"/>
          <w:szCs w:val="22"/>
        </w:rPr>
      </w:pPr>
      <w:r w:rsidRPr="00636913">
        <w:rPr>
          <w:sz w:val="22"/>
          <w:szCs w:val="22"/>
        </w:rPr>
        <w:t>In der zweiten Teilaufgabe ist ein Punkt gegeben, der ein Rechteck mit bestimmter Breite und Länge repräsentiert. Die Schülerinnen und Schüler sollen hier denjenigen Punkt angegeben, der ein zu diesem Rechteck deckungsgleiches Rechteck repräsentiert. Es muss also überlegt werden, welche Eigenschaften des Punktes sich aus der Deckungsgleichheit der Rechtecke ergeben. Da die Lernenden hierzu nicht auf ein Routineverfahren zurückgreifen können, handelt es sich um eine Problemaufgabe (K2).In der dritten Teilaufgabe müssen ebenfalls Bezüge zwischen der graphischen Darstellungsform und den zugehörigen Rechtecken hergestellt werden, um drei gegebene Aussagen verstehen und auf ihren Wahrheitsgehalt hin beurteilen zu können (K6).</w:t>
      </w:r>
    </w:p>
    <w:p w:rsidR="00ED5A52" w:rsidRPr="00636913" w:rsidRDefault="00ED5A52" w:rsidP="00ED5A52">
      <w:pPr>
        <w:pStyle w:val="IQB-Standard"/>
        <w:rPr>
          <w:sz w:val="22"/>
          <w:szCs w:val="22"/>
        </w:rPr>
      </w:pPr>
      <w:r w:rsidRPr="00636913">
        <w:rPr>
          <w:sz w:val="22"/>
          <w:szCs w:val="22"/>
        </w:rPr>
        <w:t>Teilaufgabe 1 lässt sich dem Anforderungsbereich I zuordnen, weil hier lediglich Werte aus einer gegebenen und vertrauten Darstellung abgelesen werden müssen. In Teilaufgabe 2 müssen konkrete Bezüge zwischen geometrischen Eigenschaften und der gegebenen graphischen Darstellung hergestellt werden, weshalb es sich hier um Anforderungsbereich II handelt. Da in Teilaufgabe 3 Aussagen über allgemeine Zusammenhänge beurteilt werden sollen, handelt es sich hier um Anforderungsbereich III.</w:t>
      </w:r>
    </w:p>
    <w:p w:rsidR="00694A63" w:rsidRPr="00694A63" w:rsidRDefault="00694A63" w:rsidP="00694A63">
      <w:pPr>
        <w:pStyle w:val="IQB-Teilaufgabentitel"/>
        <w:rPr>
          <w:b/>
        </w:rPr>
      </w:pPr>
      <w:r w:rsidRPr="00694A63">
        <w:rPr>
          <w:b/>
        </w:rPr>
        <w:t>Anregungen für den Unterricht</w:t>
      </w:r>
    </w:p>
    <w:p w:rsidR="00ED5A52" w:rsidRDefault="00ED5A52" w:rsidP="00ED5A52">
      <w:pPr>
        <w:pStyle w:val="IQB-Standard"/>
        <w:rPr>
          <w:sz w:val="22"/>
          <w:szCs w:val="22"/>
        </w:rPr>
      </w:pPr>
      <w:r w:rsidRPr="00636913">
        <w:rPr>
          <w:sz w:val="22"/>
          <w:szCs w:val="22"/>
        </w:rPr>
        <w:t xml:space="preserve">Anhand der Aufgabe „Verschiedene Rechtecke“ lernen Schülerinnen und Schüler eine erste gebrochen-rationale Funktion mit der Gleichung </w:t>
      </w:r>
      <m:oMath>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x</m:t>
            </m:r>
          </m:e>
        </m:d>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36</m:t>
            </m:r>
          </m:num>
          <m:den>
            <m:r>
              <w:rPr>
                <w:rFonts w:ascii="Cambria Math" w:hAnsi="Cambria Math"/>
                <w:sz w:val="22"/>
                <w:szCs w:val="22"/>
              </w:rPr>
              <m:t>x</m:t>
            </m:r>
          </m:den>
        </m:f>
        <m:r>
          <w:rPr>
            <w:rFonts w:ascii="Cambria Math" w:hAnsi="Cambria Math"/>
            <w:sz w:val="22"/>
            <w:szCs w:val="22"/>
          </w:rPr>
          <m:t xml:space="preserve"> </m:t>
        </m:r>
      </m:oMath>
      <w:r w:rsidRPr="00636913">
        <w:rPr>
          <w:sz w:val="22"/>
          <w:szCs w:val="22"/>
        </w:rPr>
        <w:t xml:space="preserve"> kennen. Ohne auf die begriffliche Bestimmung von gebrochen-rationalen Funktionen einzugehen, kön</w:t>
      </w:r>
      <w:proofErr w:type="spellStart"/>
      <w:r w:rsidRPr="00636913">
        <w:rPr>
          <w:sz w:val="22"/>
          <w:szCs w:val="22"/>
        </w:rPr>
        <w:t>nen</w:t>
      </w:r>
      <w:proofErr w:type="spellEnd"/>
      <w:r w:rsidRPr="00636913">
        <w:rPr>
          <w:sz w:val="22"/>
          <w:szCs w:val="22"/>
        </w:rPr>
        <w:t xml:space="preserve"> die Lernenden hier verschiedene Eigenschaften weitgehend selbständig entdecken. So kann beispielsweise die Frage </w:t>
      </w:r>
      <w:r w:rsidRPr="00636913">
        <w:rPr>
          <w:sz w:val="22"/>
          <w:szCs w:val="22"/>
        </w:rPr>
        <w:lastRenderedPageBreak/>
        <w:t>nach dem Verhalten für sehr große x-Werte oder für x-Werte nahe 0 durch Anschauung und konkrete Rechnungen (vorerst) beantwortet werden, es kann nach einem sinnvollen Definitionsbereich gefragt werden oder nach einer dem Lernstand der Schülerinnen und Schüler entsprechenden Begründung, weshalb für die Symmetrieachse x = y gilt. Die Aufgabe kann durch andere Flächen und Flächeninhalte leicht variiert und auch auf einen Quader mit quadratischer oder kreisförmiger Grundfläche übertragen werden. So werden die Leitideen Raum und Form (L3) und funktionaler Zusammenhang (L4) sinnvoll verknüpft.</w:t>
      </w:r>
    </w:p>
    <w:p w:rsidR="00ED5A52" w:rsidRPr="00AD695A" w:rsidRDefault="00ED5A52" w:rsidP="00ED5A52">
      <w:pPr>
        <w:pStyle w:val="IQB-Standard"/>
        <w:rPr>
          <w:sz w:val="2"/>
          <w:szCs w:val="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57" w:type="dxa"/>
          <w:bottom w:w="113" w:type="dxa"/>
          <w:right w:w="57" w:type="dxa"/>
        </w:tblCellMar>
        <w:tblLook w:val="01E0" w:firstRow="1" w:lastRow="1" w:firstColumn="1" w:lastColumn="1" w:noHBand="0" w:noVBand="0"/>
      </w:tblPr>
      <w:tblGrid>
        <w:gridCol w:w="9184"/>
      </w:tblGrid>
      <w:tr w:rsidR="00ED5A52" w:rsidRPr="001A06DF" w:rsidTr="00C96D35">
        <w:tc>
          <w:tcPr>
            <w:tcW w:w="9184" w:type="dxa"/>
            <w:shd w:val="clear" w:color="auto" w:fill="auto"/>
            <w:vAlign w:val="center"/>
          </w:tcPr>
          <w:p w:rsidR="00ED5A52" w:rsidRDefault="00ED5A52" w:rsidP="00C96D35">
            <w:pPr>
              <w:pStyle w:val="IQB-Standard"/>
              <w:spacing w:after="60"/>
              <w:rPr>
                <w:noProof/>
              </w:rPr>
            </w:pPr>
            <w:r>
              <w:rPr>
                <w:noProof/>
              </w:rPr>
              <mc:AlternateContent>
                <mc:Choice Requires="wps">
                  <w:drawing>
                    <wp:anchor distT="0" distB="0" distL="114299" distR="114299" simplePos="0" relativeHeight="251659264" behindDoc="0" locked="0" layoutInCell="1" allowOverlap="1">
                      <wp:simplePos x="0" y="0"/>
                      <wp:positionH relativeFrom="column">
                        <wp:posOffset>-113030</wp:posOffset>
                      </wp:positionH>
                      <wp:positionV relativeFrom="paragraph">
                        <wp:posOffset>-69850</wp:posOffset>
                      </wp:positionV>
                      <wp:extent cx="635" cy="2057400"/>
                      <wp:effectExtent l="34925" t="28575" r="31115" b="28575"/>
                      <wp:wrapNone/>
                      <wp:docPr id="3" name="Freihandform: 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2057400"/>
                              </a:xfrm>
                              <a:custGeom>
                                <a:avLst/>
                                <a:gdLst>
                                  <a:gd name="T0" fmla="*/ 0 w 1"/>
                                  <a:gd name="T1" fmla="*/ 0 h 3240"/>
                                  <a:gd name="T2" fmla="*/ 0 w 1"/>
                                  <a:gd name="T3" fmla="*/ 3240 h 3240"/>
                                </a:gdLst>
                                <a:ahLst/>
                                <a:cxnLst>
                                  <a:cxn ang="0">
                                    <a:pos x="T0" y="T1"/>
                                  </a:cxn>
                                  <a:cxn ang="0">
                                    <a:pos x="T2" y="T3"/>
                                  </a:cxn>
                                </a:cxnLst>
                                <a:rect l="0" t="0" r="r" b="b"/>
                                <a:pathLst>
                                  <a:path w="1" h="3240">
                                    <a:moveTo>
                                      <a:pt x="0" y="0"/>
                                    </a:moveTo>
                                    <a:lnTo>
                                      <a:pt x="0" y="3240"/>
                                    </a:lnTo>
                                  </a:path>
                                </a:pathLst>
                              </a:custGeom>
                              <a:noFill/>
                              <a:ln w="57150" algn="ctr">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CAECDD1" id="Freihandform: Form 3"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8.9pt,-5.5pt,-8.9pt,156.5pt" coordsize="1,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" filled="f" strokecolor="#bfbfbf" strokeweight="4.5pt">
                      <v:path arrowok="t" o:connecttype="custom" o:connectlocs="0,0;0,2057400" o:connectangles="0,0"/>
                    </v:polyline>
                  </w:pict>
                </mc:Fallback>
              </mc:AlternateContent>
            </w:r>
            <w:r w:rsidRPr="0061344F">
              <w:rPr>
                <w:noProof/>
              </w:rPr>
              <w:drawing>
                <wp:inline distT="0" distB="0" distL="0" distR="0">
                  <wp:extent cx="4271645" cy="46418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8">
                            <a:extLst>
                              <a:ext uri="{28A0092B-C50C-407E-A947-70E740481C1C}">
                                <a14:useLocalDpi xmlns:a14="http://schemas.microsoft.com/office/drawing/2010/main" val="0"/>
                              </a:ext>
                            </a:extLst>
                          </a:blip>
                          <a:srcRect t="6882" b="17801"/>
                          <a:stretch>
                            <a:fillRect/>
                          </a:stretch>
                        </pic:blipFill>
                        <pic:spPr bwMode="auto">
                          <a:xfrm>
                            <a:off x="0" y="0"/>
                            <a:ext cx="4271645" cy="464185"/>
                          </a:xfrm>
                          <a:prstGeom prst="rect">
                            <a:avLst/>
                          </a:prstGeom>
                          <a:noFill/>
                          <a:ln>
                            <a:noFill/>
                          </a:ln>
                        </pic:spPr>
                      </pic:pic>
                    </a:graphicData>
                  </a:graphic>
                </wp:inline>
              </w:drawing>
            </w:r>
          </w:p>
          <w:p w:rsidR="00ED5A52" w:rsidRDefault="00ED5A52" w:rsidP="00C96D35">
            <w:pPr>
              <w:pStyle w:val="IQB-Teilaufgabensubtitel"/>
            </w:pPr>
            <w:r>
              <w:t>Auswertung</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1133"/>
              <w:gridCol w:w="7927"/>
            </w:tblGrid>
            <w:tr w:rsidR="00ED5A52" w:rsidTr="00C96D35">
              <w:tc>
                <w:tcPr>
                  <w:tcW w:w="1133" w:type="dxa"/>
                  <w:tcBorders>
                    <w:top w:val="single" w:sz="4" w:space="0" w:color="auto"/>
                    <w:bottom w:val="single" w:sz="4" w:space="0" w:color="auto"/>
                  </w:tcBorders>
                  <w:vAlign w:val="center"/>
                </w:tcPr>
                <w:p w:rsidR="00ED5A52" w:rsidRDefault="00ED5A52" w:rsidP="00C96D35">
                  <w:pPr>
                    <w:pStyle w:val="IQB-RSCodeValue"/>
                  </w:pPr>
                  <w:r>
                    <w:t>RICHTIG</w:t>
                  </w:r>
                </w:p>
              </w:tc>
              <w:tc>
                <w:tcPr>
                  <w:tcW w:w="7937" w:type="dxa"/>
                  <w:tcBorders>
                    <w:top w:val="single" w:sz="4" w:space="0" w:color="auto"/>
                    <w:bottom w:val="single" w:sz="4" w:space="0" w:color="auto"/>
                  </w:tcBorders>
                </w:tcPr>
                <w:p w:rsidR="00ED5A52" w:rsidRDefault="00ED5A52" w:rsidP="00C96D35">
                  <w:pPr>
                    <w:pStyle w:val="IQB-RSNormal"/>
                  </w:pPr>
                  <w:r>
                    <w:t>F</w:t>
                  </w:r>
                </w:p>
              </w:tc>
            </w:tr>
          </w:tbl>
          <w:p w:rsidR="00ED5A52" w:rsidRDefault="00ED5A52" w:rsidP="00C96D35">
            <w:pPr>
              <w:pStyle w:val="IQB-Teilaufgabensubtitel"/>
            </w:pPr>
            <w:r>
              <w:t>Merkmale</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5"/>
              <w:gridCol w:w="6595"/>
            </w:tblGrid>
            <w:tr w:rsidR="00ED5A52" w:rsidTr="00C96D35">
              <w:tc>
                <w:tcPr>
                  <w:tcW w:w="2466" w:type="dxa"/>
                  <w:tcBorders>
                    <w:top w:val="single" w:sz="4" w:space="0" w:color="auto"/>
                  </w:tcBorders>
                  <w:vAlign w:val="center"/>
                </w:tcPr>
                <w:p w:rsidR="00ED5A52" w:rsidRDefault="00ED5A52" w:rsidP="00C96D35">
                  <w:pPr>
                    <w:pStyle w:val="IQB-Merkmal"/>
                  </w:pPr>
                  <w:r>
                    <w:t>Leitidee</w:t>
                  </w:r>
                </w:p>
              </w:tc>
              <w:tc>
                <w:tcPr>
                  <w:tcW w:w="6604" w:type="dxa"/>
                  <w:tcBorders>
                    <w:top w:val="single" w:sz="4" w:space="0" w:color="auto"/>
                  </w:tcBorders>
                </w:tcPr>
                <w:p w:rsidR="00ED5A52" w:rsidRDefault="00ED5A52" w:rsidP="00C96D35">
                  <w:pPr>
                    <w:pStyle w:val="IQB-Merkmalswert"/>
                  </w:pPr>
                  <w:r>
                    <w:t>4. Funktionaler Zusammenhang</w:t>
                  </w:r>
                </w:p>
              </w:tc>
            </w:tr>
            <w:tr w:rsidR="00ED5A52" w:rsidTr="00C96D35">
              <w:tc>
                <w:tcPr>
                  <w:tcW w:w="2466" w:type="dxa"/>
                  <w:vAlign w:val="center"/>
                </w:tcPr>
                <w:p w:rsidR="00ED5A52" w:rsidRDefault="00ED5A52" w:rsidP="00C96D35">
                  <w:pPr>
                    <w:pStyle w:val="IQB-Merkmal"/>
                  </w:pPr>
                  <w:r>
                    <w:t>Allgemeine Kompetenz</w:t>
                  </w:r>
                </w:p>
              </w:tc>
              <w:tc>
                <w:tcPr>
                  <w:tcW w:w="6604" w:type="dxa"/>
                </w:tcPr>
                <w:p w:rsidR="00ED5A52" w:rsidRDefault="00ED5A52" w:rsidP="00C96D35">
                  <w:pPr>
                    <w:pStyle w:val="IQB-Merkmalswert"/>
                  </w:pPr>
                  <w:r w:rsidRPr="00C764A9">
                    <w:t>Mathematische Darstellungen verwenden (K4)</w:t>
                  </w:r>
                </w:p>
              </w:tc>
            </w:tr>
            <w:tr w:rsidR="00ED5A52" w:rsidTr="00C96D35">
              <w:tc>
                <w:tcPr>
                  <w:tcW w:w="2466" w:type="dxa"/>
                  <w:tcBorders>
                    <w:bottom w:val="single" w:sz="4" w:space="0" w:color="auto"/>
                  </w:tcBorders>
                  <w:vAlign w:val="center"/>
                </w:tcPr>
                <w:p w:rsidR="00ED5A52" w:rsidRDefault="00ED5A52" w:rsidP="00C96D35">
                  <w:pPr>
                    <w:pStyle w:val="IQB-Merkmal"/>
                  </w:pPr>
                  <w:r>
                    <w:t>Anforderungsbereich</w:t>
                  </w:r>
                </w:p>
              </w:tc>
              <w:tc>
                <w:tcPr>
                  <w:tcW w:w="6604" w:type="dxa"/>
                  <w:tcBorders>
                    <w:bottom w:val="single" w:sz="4" w:space="0" w:color="auto"/>
                  </w:tcBorders>
                </w:tcPr>
                <w:p w:rsidR="00ED5A52" w:rsidRDefault="00ED5A52" w:rsidP="00C96D35">
                  <w:pPr>
                    <w:pStyle w:val="IQB-Merkmalswert"/>
                  </w:pPr>
                  <w:r>
                    <w:t>I</w:t>
                  </w:r>
                </w:p>
              </w:tc>
            </w:tr>
          </w:tbl>
          <w:p w:rsidR="00ED5A52" w:rsidRPr="001A06DF" w:rsidRDefault="00ED5A52" w:rsidP="00C96D35">
            <w:pPr>
              <w:pStyle w:val="IQB-Standard"/>
              <w:spacing w:after="60"/>
              <w:rPr>
                <w:sz w:val="22"/>
                <w:szCs w:val="22"/>
              </w:rPr>
            </w:pPr>
          </w:p>
        </w:tc>
      </w:tr>
    </w:tbl>
    <w:p w:rsidR="00694A63" w:rsidRPr="00F764C0" w:rsidRDefault="00694A63" w:rsidP="00ED5A52">
      <w:pPr>
        <w:spacing w:before="60"/>
        <w:rPr>
          <w:rFonts w:ascii="Arial" w:hAnsi="Arial" w:cs="Arial"/>
          <w:sz w:val="22"/>
          <w:szCs w:val="22"/>
        </w:rPr>
      </w:pPr>
      <w:bookmarkStart w:id="0" w:name="_GoBack"/>
      <w:bookmarkEnd w:id="0"/>
    </w:p>
    <w:sectPr w:rsidR="00694A63" w:rsidRPr="00F764C0"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E2BD840F-7CB4-435D-A26E-26F0153C8FB0}"/>
    <w:embedBold r:id="rId2" w:fontKey="{6F6626C8-2552-4978-8471-07805E4FECFA}"/>
    <w:embedBoldItalic r:id="rId3" w:fontKey="{E20E6E56-8589-423F-9888-9C547331FB58}"/>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embedItalic r:id="rId4" w:subsetted="1" w:fontKey="{09155F97-6D8B-4B83-A9AD-2507B16604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2"/>
  </w:num>
  <w:num w:numId="3">
    <w:abstractNumId w:val="0"/>
  </w:num>
  <w:num w:numId="4">
    <w:abstractNumId w:val="9"/>
  </w:num>
  <w:num w:numId="5">
    <w:abstractNumId w:val="5"/>
  </w:num>
  <w:num w:numId="6">
    <w:abstractNumId w:val="7"/>
  </w:num>
  <w:num w:numId="7">
    <w:abstractNumId w:val="3"/>
  </w:num>
  <w:num w:numId="8">
    <w:abstractNumId w:val="1"/>
  </w:num>
  <w:num w:numId="9">
    <w:abstractNumId w:val="4"/>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839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94169"/>
    <w:rsid w:val="00DA5629"/>
    <w:rsid w:val="00DB65DC"/>
    <w:rsid w:val="00DD3C5F"/>
    <w:rsid w:val="00DE1076"/>
    <w:rsid w:val="00DE3D52"/>
    <w:rsid w:val="00DF532B"/>
    <w:rsid w:val="00EA71E2"/>
    <w:rsid w:val="00EC34A6"/>
    <w:rsid w:val="00ED2D11"/>
    <w:rsid w:val="00ED5A52"/>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3969"/>
    <o:shapelayout v:ext="edit">
      <o:idmap v:ext="edit" data="1"/>
    </o:shapelayout>
  </w:shapeDefaults>
  <w:decimalSymbol w:val=","/>
  <w:listSeparator w:val=";"/>
  <w14:docId w14:val="40523984"/>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5D587C-0D64-4544-8647-274A47260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459</Words>
  <Characters>3265</Characters>
  <Application>Microsoft Office Word</Application>
  <DocSecurity>0</DocSecurity>
  <Lines>408</Lines>
  <Paragraphs>338</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2025-06-03T15:23:00Z</dcterms:created>
  <dcterms:modified xsi:type="dcterms:W3CDTF">2025-06-03T15:23:00Z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